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49"/>
        <w:gridCol w:w="1341"/>
        <w:gridCol w:w="1984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14C10BAA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322465">
              <w:rPr>
                <w:sz w:val="18"/>
              </w:rPr>
              <w:t>2</w:t>
            </w:r>
            <w:r w:rsidR="00346086">
              <w:rPr>
                <w:sz w:val="18"/>
              </w:rPr>
              <w:t>8</w:t>
            </w:r>
            <w:r w:rsidR="00327EED">
              <w:rPr>
                <w:sz w:val="18"/>
              </w:rPr>
              <w:t>.</w:t>
            </w:r>
            <w:r w:rsidR="0072664F">
              <w:rPr>
                <w:sz w:val="18"/>
              </w:rPr>
              <w:t>1</w:t>
            </w:r>
            <w:r w:rsidR="00346086">
              <w:rPr>
                <w:sz w:val="18"/>
              </w:rPr>
              <w:t>2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E25702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="0035796C" w:rsidRPr="0035796C">
              <w:rPr>
                <w:b w:val="0"/>
                <w:sz w:val="18"/>
              </w:rPr>
              <w:t>.</w:t>
            </w:r>
            <w:proofErr w:type="gramEnd"/>
            <w:r w:rsidR="0035796C" w:rsidRPr="0035796C">
              <w:rPr>
                <w:b w:val="0"/>
                <w:sz w:val="18"/>
              </w:rPr>
              <w:t xml:space="preserve">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6484CB9D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346086">
              <w:rPr>
                <w:bCs/>
                <w:sz w:val="18"/>
              </w:rPr>
              <w:t>4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49BDE4CB" w:rsidR="006A109F" w:rsidRPr="004B2EA9" w:rsidRDefault="0099216F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</w:t>
            </w:r>
            <w:r w:rsidR="00346086">
              <w:rPr>
                <w:b w:val="0"/>
                <w:sz w:val="18"/>
              </w:rPr>
              <w:t>7</w:t>
            </w:r>
            <w:r>
              <w:rPr>
                <w:b w:val="0"/>
                <w:sz w:val="18"/>
              </w:rPr>
              <w:t>,</w:t>
            </w:r>
            <w:r w:rsidR="00346086">
              <w:rPr>
                <w:b w:val="0"/>
                <w:sz w:val="18"/>
              </w:rPr>
              <w:t>06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7FCE023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4466350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19A6ADCC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proofErr w:type="gramStart"/>
            <w:r w:rsidRPr="00E74D8C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D64082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proofErr w:type="gramStart"/>
            <w:r w:rsidRPr="00DA71CA">
              <w:rPr>
                <w:b w:val="0"/>
                <w:sz w:val="18"/>
              </w:rPr>
              <w:t>кв.м</w:t>
            </w:r>
            <w:proofErr w:type="spellEnd"/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D7A9AF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4569B120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13" w:type="dxa"/>
              <w:tblLook w:val="04A0" w:firstRow="1" w:lastRow="0" w:firstColumn="1" w:lastColumn="0" w:noHBand="0" w:noVBand="1"/>
            </w:tblPr>
            <w:tblGrid>
              <w:gridCol w:w="1177"/>
              <w:gridCol w:w="1513"/>
              <w:gridCol w:w="1567"/>
              <w:gridCol w:w="256"/>
            </w:tblGrid>
            <w:tr w:rsidR="00E25702" w:rsidRPr="00E25702" w14:paraId="68C947EC" w14:textId="77777777" w:rsidTr="00E25702">
              <w:trPr>
                <w:gridAfter w:val="1"/>
                <w:wAfter w:w="256" w:type="dxa"/>
                <w:trHeight w:val="539"/>
              </w:trPr>
              <w:tc>
                <w:tcPr>
                  <w:tcW w:w="11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F968C4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51294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67668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E25702" w:rsidRPr="00E25702" w14:paraId="576FCF51" w14:textId="77777777" w:rsidTr="00E25702">
              <w:trPr>
                <w:trHeight w:val="793"/>
              </w:trPr>
              <w:tc>
                <w:tcPr>
                  <w:tcW w:w="11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92844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A7207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25284C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7B678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E25702" w:rsidRPr="00E25702" w14:paraId="48F447C1" w14:textId="77777777" w:rsidTr="00E25702">
              <w:trPr>
                <w:trHeight w:val="396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13954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142BA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-11,72%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9B31D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-13,04%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20391556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25702" w:rsidRPr="00E25702" w14:paraId="5CEA9853" w14:textId="77777777" w:rsidTr="00E25702">
              <w:trPr>
                <w:trHeight w:val="396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183D7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BA8F2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-17,14%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D1D96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-20,68%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0F94DCE3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25702" w:rsidRPr="00E25702" w14:paraId="7BDE349E" w14:textId="77777777" w:rsidTr="00E25702">
              <w:trPr>
                <w:trHeight w:val="396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29A45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5150B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-23,04%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27E0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-28,47%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6F17B741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25702" w:rsidRPr="00E25702" w14:paraId="1E6C9ACF" w14:textId="77777777" w:rsidTr="00E25702">
              <w:trPr>
                <w:trHeight w:val="396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582EB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C2C0B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-42,82%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25E17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-52,33%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42A065C2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25702" w:rsidRPr="00E25702" w14:paraId="4CCCE7F1" w14:textId="77777777" w:rsidTr="00E25702">
              <w:trPr>
                <w:trHeight w:val="396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BB264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79332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-61,09%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6E271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-92,75%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7539FDDC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25702" w:rsidRPr="00E25702" w14:paraId="36442AC9" w14:textId="77777777" w:rsidTr="00E25702">
              <w:trPr>
                <w:trHeight w:val="396"/>
              </w:trPr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AEEAD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352CB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-66,13%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BF79B" w14:textId="77777777" w:rsidR="00E25702" w:rsidRPr="00E25702" w:rsidRDefault="00E25702" w:rsidP="00E2570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2570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-115,85%</w:t>
                  </w:r>
                </w:p>
              </w:tc>
              <w:tc>
                <w:tcPr>
                  <w:tcW w:w="256" w:type="dxa"/>
                  <w:vAlign w:val="center"/>
                  <w:hideMark/>
                </w:tcPr>
                <w:p w14:paraId="57F6E88C" w14:textId="77777777" w:rsidR="00E25702" w:rsidRPr="00E25702" w:rsidRDefault="00E25702" w:rsidP="00E2570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1931873B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198</w:t>
            </w:r>
            <w:r w:rsidR="0072664F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>48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0F07233A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346086">
              <w:rPr>
                <w:sz w:val="18"/>
              </w:rPr>
              <w:t>49,62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87</cp:revision>
  <dcterms:created xsi:type="dcterms:W3CDTF">2023-06-30T08:19:00Z</dcterms:created>
  <dcterms:modified xsi:type="dcterms:W3CDTF">2025-01-16T06:13:00Z</dcterms:modified>
</cp:coreProperties>
</file>